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REVISÃO DO PLANEJAMENTO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 xml:space="preserve">EXERCÍCIO: </w:t>
      </w: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highlight w:val="yellow"/>
          <w:lang w:val="pt-BR" w:eastAsia="zh-CN" w:bidi="hi-IN"/>
        </w:rPr>
        <w:t>20</w:t>
      </w:r>
      <w:r>
        <w:rPr>
          <w:rFonts w:eastAsia="Noto Sans CJK SC" w:cs="Lohit Devanagari" w:ascii="Times New Roman" w:hAnsi="Times New Roman"/>
          <w:b/>
          <w:bCs/>
          <w:color w:val="000000"/>
          <w:kern w:val="2"/>
          <w:sz w:val="26"/>
          <w:szCs w:val="26"/>
          <w:highlight w:val="yellow"/>
          <w:lang w:val="pt-BR" w:eastAsia="zh-CN" w:bidi="hi-IN"/>
        </w:rPr>
        <w:t>XX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atualização da estimativa de alienação dos excedentes e a definição de metas e resultados acadêmicos a serem atingidos no exercício que se inicia, encaminhamos relatório detalhado para apreciação.</w:t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commentRangeEnd w:id="0"/>
            <w:r>
              <w:commentReference w:id="0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Unidade de Ensino, Pesquisa e Extensão –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Departamento/Instituto: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D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DA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 – Departamento de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XXX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Noto Sans CJK SC" w:cs="Lohit Devanagari"/>
                <w:b w:val="false"/>
                <w:b w:val="false"/>
                <w:bCs w:val="false"/>
                <w:color w:val="auto"/>
                <w:kern w:val="2"/>
                <w:sz w:val="26"/>
                <w:szCs w:val="26"/>
                <w:highlight w:val="yellow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Completo do Chefe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Nome Completo do Coordenador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Telefone Coordenação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 Coordenador: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 Coordenação: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/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  <w:highlight w:val="yellow"/>
                </w:rPr>
                <w:t>@ufv.br</w:t>
              </w:r>
            </w:hyperlink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commentRangeStart w:id="1"/>
      <w:r>
        <w:rPr>
          <w:rFonts w:ascii="Times New Roman" w:hAnsi="Times New Roman"/>
          <w:b/>
          <w:bCs/>
          <w:sz w:val="26"/>
          <w:szCs w:val="26"/>
        </w:rPr>
        <w:t>Orçamento</w:t>
      </w:r>
      <w:commentRangeEnd w:id="1"/>
      <w:r>
        <w:commentReference w:id="1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58"/>
        <w:gridCol w:w="2550"/>
        <w:gridCol w:w="2430"/>
        <w:gridCol w:w="2331"/>
      </w:tblGrid>
      <w:tr>
        <w:trPr>
          <w:tblHeader w:val="true"/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Excedente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Quant. (1)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Preço Unit. (2)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 (1 * 2)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Animais Vivos (unid)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Carcaças (arroba)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30.000,00</w:t>
            </w:r>
          </w:p>
        </w:tc>
      </w:tr>
      <w:tr>
        <w:trPr>
          <w:cantSplit w:val="true"/>
        </w:trPr>
        <w:tc>
          <w:tcPr>
            <w:tcW w:w="7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Cortes Cárneos (kg)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4.000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25,00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</w:tr>
      <w:tr>
        <w:trPr>
          <w:cantSplit w:val="true"/>
        </w:trPr>
        <w:tc>
          <w:tcPr>
            <w:tcW w:w="122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commentRangeStart w:id="2"/>
      <w:r>
        <w:rPr>
          <w:rFonts w:ascii="Times New Roman" w:hAnsi="Times New Roman"/>
          <w:b/>
          <w:bCs/>
          <w:sz w:val="26"/>
          <w:szCs w:val="26"/>
        </w:rPr>
        <w:t>Plano de Aplicação de Recursos</w:t>
      </w:r>
      <w:commentRangeEnd w:id="2"/>
      <w:r>
        <w:commentReference w:id="2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69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24"/>
        <w:gridCol w:w="10949"/>
        <w:gridCol w:w="2496"/>
      </w:tblGrid>
      <w:tr>
        <w:trPr>
          <w:tblHeader w:val="true"/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 Item</w:t>
            </w:r>
          </w:p>
        </w:tc>
        <w:tc>
          <w:tcPr>
            <w:tcW w:w="10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Descrição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(R$)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Material de Consumo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100.000,00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Equipamentos e Material Permanente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Serviços de Terceiros Pessoa Física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5.000,00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Serviços de Terceiros Pessoa Jurídica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Estágio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7.500,00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Transporte Terrestre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Despesas Operacionais e Administrativas (DOA - Fundação)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7.500,00</w:t>
            </w:r>
          </w:p>
        </w:tc>
      </w:tr>
      <w:tr>
        <w:trPr>
          <w:cantSplit w:val="true"/>
        </w:trPr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9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Outros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1.000,00</w:t>
            </w:r>
          </w:p>
        </w:tc>
      </w:tr>
      <w:tr>
        <w:trPr>
          <w:cantSplit w:val="true"/>
        </w:trPr>
        <w:tc>
          <w:tcPr>
            <w:tcW w:w="12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right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R$ 150.000,00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Tabela de Metas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133"/>
        <w:gridCol w:w="5167"/>
        <w:gridCol w:w="3633"/>
        <w:gridCol w:w="1636"/>
      </w:tblGrid>
      <w:tr>
        <w:trPr>
          <w:tblHeader w:val="true"/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Objetivos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Metas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Ações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commentRangeStart w:id="3"/>
            <w:r>
              <w:rPr>
                <w:rFonts w:ascii="Times New Roman" w:hAnsi="Times New Roman"/>
                <w:sz w:val="24"/>
                <w:szCs w:val="24"/>
              </w:rPr>
              <w:t xml:space="preserve">Viabilizar aulas teóricas e práticas de disciplinas relacionadas à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Bovinocultura de corte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commentRangeStart w:id="4"/>
            <w:r>
              <w:rPr>
                <w:rFonts w:ascii="Times New Roman" w:hAnsi="Times New Roman"/>
                <w:sz w:val="24"/>
                <w:szCs w:val="24"/>
              </w:rPr>
              <w:t>. Atender 60 alunos em disciplinas do curso de Zootecnia e Veterinária.</w:t>
            </w:r>
            <w:commentRangeEnd w:id="4"/>
            <w:r>
              <w:commentReference w:id="4"/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Preparar aulas.</w:t>
            </w:r>
          </w:p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Reservar salas.</w:t>
            </w:r>
          </w:p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Ministrar aula.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Possibilitar o desenvolvimento de trabalhos de conclusão de curso de graduação e pós-graduação por meio da realização de experimentos.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Oferecer oportunidades de estágio para estudantes da UFV e de outras instituições de ensino superior.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Oferecer cursos de extensão em assuntos relacionados à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bovinocultura de corte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20XX</w:t>
            </w:r>
          </w:p>
        </w:tc>
      </w:tr>
      <w:tr>
        <w:trPr>
          <w:cantSplit w:val="true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Garantir a manutenção e o aprimoramento da infraestrutura da UEPE.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a Dez -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>
              <w:rPr>
                <w:rFonts w:eastAsia="Noto Sans CJK SC" w:cs="Lohit Devanagari" w:ascii="Times New Roman" w:hAnsi="Times New Roman"/>
                <w:color w:val="000000"/>
                <w:kern w:val="2"/>
                <w:sz w:val="24"/>
                <w:szCs w:val="24"/>
                <w:highlight w:val="yellow"/>
                <w:lang w:val="pt-BR" w:eastAsia="zh-CN" w:bidi="hi-IN"/>
              </w:rPr>
              <w:t>XX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commentRangeStart w:id="5"/>
      <w:r>
        <w:rPr>
          <w:rFonts w:ascii="Times New Roman" w:hAnsi="Times New Roman"/>
          <w:b/>
          <w:bCs/>
          <w:sz w:val="26"/>
          <w:szCs w:val="26"/>
        </w:rPr>
        <w:t>Resultados</w:t>
      </w:r>
      <w:r>
        <w:rPr>
          <w:rFonts w:ascii="Times New Roman" w:hAnsi="Times New Roman"/>
          <w:b/>
          <w:bCs/>
          <w:sz w:val="26"/>
          <w:szCs w:val="26"/>
        </w:rPr>
      </w:r>
      <w:commentRangeEnd w:id="5"/>
      <w:r>
        <w:commentReference w:id="5"/>
      </w:r>
      <w:r>
        <w:rPr>
          <w:rFonts w:ascii="Times New Roman" w:hAnsi="Times New Roman"/>
          <w:b/>
          <w:bCs/>
          <w:sz w:val="26"/>
          <w:szCs w:val="26"/>
        </w:rPr>
        <w:t xml:space="preserve"> Acadêmicos Projetados para o exercício </w:t>
      </w:r>
      <w:r>
        <w:rPr>
          <w:rFonts w:ascii="Times New Roman" w:hAnsi="Times New Roman"/>
          <w:b/>
          <w:bCs/>
          <w:sz w:val="26"/>
          <w:szCs w:val="26"/>
          <w:highlight w:val="yellow"/>
        </w:rPr>
        <w:t>20XX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99"/>
        <w:gridCol w:w="1489"/>
        <w:gridCol w:w="7814"/>
        <w:gridCol w:w="3467"/>
      </w:tblGrid>
      <w:tr>
        <w:trPr>
          <w:tblHeader w:val="true"/>
          <w:cantSplit w:val="true"/>
        </w:trPr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Eixos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Nº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Projeções</w:t>
            </w:r>
          </w:p>
        </w:tc>
      </w:tr>
      <w:tr>
        <w:trPr>
          <w:cantSplit w:val="true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ENSINO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30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-1" w:right="169" w:hanging="1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15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-1" w:right="169" w:hanging="1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cursos técnicos contemplados por disciplinas práticas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right="0" w:hanging="2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20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10</w:t>
            </w:r>
          </w:p>
        </w:tc>
      </w:tr>
      <w:tr>
        <w:trPr>
          <w:cantSplit w:val="true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PESQUISA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T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rabalhos de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onclusão de curso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6"/>
                <w:szCs w:val="26"/>
                <w:lang w:val="pt-BR" w:eastAsia="zh-CN" w:bidi="hi-IN"/>
              </w:rPr>
              <w:t>5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04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03</w:t>
            </w:r>
          </w:p>
        </w:tc>
      </w:tr>
      <w:tr>
        <w:trPr>
          <w:cantSplit w:val="true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EXTENSÃO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Eventos de Extensão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02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oto Sans CJK SC" w:cs="Lohit Devanagari"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Extensão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02</w:t>
            </w:r>
          </w:p>
        </w:tc>
      </w:tr>
      <w:tr>
        <w:trPr>
          <w:cantSplit w:val="true"/>
        </w:trPr>
        <w:tc>
          <w:tcPr>
            <w:tcW w:w="17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 w:eastAsia="Noto Sans CJK SC" w:cs="Lohit Devanagari"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Cursos de Extensão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02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commentRangeStart w:id="6"/>
      <w:r>
        <w:rPr>
          <w:rFonts w:ascii="Times New Roman" w:hAnsi="Times New Roman"/>
          <w:b/>
          <w:bCs/>
          <w:sz w:val="26"/>
          <w:szCs w:val="26"/>
        </w:rPr>
        <w:t>Planejamento de Aquisições</w:t>
      </w:r>
      <w:commentRangeEnd w:id="6"/>
      <w:r>
        <w:commentReference w:id="6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889"/>
        <w:gridCol w:w="3680"/>
      </w:tblGrid>
      <w:tr>
        <w:trPr>
          <w:tblHeader w:val="true"/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 w:eastAsia="Noto Sans CJK SC" w:cs="Lohit Devanagari"/>
                <w:b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Item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 w:eastAsia="Noto Sans CJK SC" w:cs="Lohit Devanagari"/>
                <w:b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Valor Aquisição (R$)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Roçadeira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1.500,00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contextualSpacing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Microscópio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12.500,00</w:t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left="-1" w:right="169" w:hanging="1"/>
              <w:contextualSpacing/>
              <w:jc w:val="left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right="0" w:hanging="2"/>
              <w:contextualSpacing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left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sectPr>
      <w:headerReference w:type="default" r:id="rId3"/>
      <w:type w:val="nextPage"/>
      <w:pgSz w:orient="landscape" w:w="16838" w:h="11906"/>
      <w:pgMar w:left="1134" w:right="1134" w:gutter="0" w:header="1134" w:top="340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Rodrigo Lopes" w:date="2022-05-25T15:36:23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Atentar a possíveis alterações em relação ao que foi informado previamente.</w:t>
      </w:r>
    </w:p>
  </w:comment>
  <w:comment w:id="1" w:author="Rodrigo Lopes" w:date="2021-03-26T16:15:47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Atualização da planilha de orçamento contida no planejamento anterior.</w:t>
      </w:r>
    </w:p>
  </w:comment>
  <w:comment w:id="2" w:author="Rodrigo Lopes" w:date="2021-03-26T16:16:38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Plano de aplicação para o novo exercício, em consonância com a arrecadação prevista no item anterior.</w:t>
      </w:r>
    </w:p>
  </w:comment>
  <w:comment w:id="3" w:author="Rodrigo Lopes" w:date="2022-07-27T09:55:10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Manter os objetivos específicos pactuados no projeto básico.</w:t>
      </w:r>
    </w:p>
  </w:comment>
  <w:comment w:id="4" w:author="Rodrigo Lopes" w:date="2022-07-27T09:55:28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 xml:space="preserve">Atualizar as metas para o novo exercício. É necessário um quantificador para a meta. 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Ex)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60 alunos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3 cursos de extensão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10 estagiários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...</w:t>
      </w:r>
    </w:p>
  </w:comment>
  <w:comment w:id="5" w:author="Rodrigo Lopes" w:date="2021-03-26T16:19:05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Nesse ano de 2023, tivemos o desenvolvimento do novo PDI. Com o plano, a administração definiu uma meta para as Uepe’s da UFV, que será mensurada tendo como fundamento os 3 eixos apresentados na tabela. Em cada um dos eixos, estão definidos os resultados acadêmicos que tem relevância para a administração superior.</w:t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Por isso, não devem ser removidos ou adicionados resultados, apenas preenchidos os campos de projeções, ainda que sejam com zero.</w:t>
      </w:r>
    </w:p>
  </w:comment>
  <w:comment w:id="6" w:author="Rodrigo Lopes" w:date="2022-05-26T16:08:55Z" w:initials="RL"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Listar os itens patrimoniais que se pretende adquirir no exercício.</w:t>
      </w:r>
    </w:p>
    <w:p>
      <w:r>
        <w:rPr>
          <w:rFonts w:ascii="Liberation Serif" w:hAnsi="Liberation Serif" w:eastAsia="Segoe UI" w:cs="Tahoma"/>
          <w:kern w:val="0"/>
          <w:lang w:val="en-US" w:eastAsia="en-US" w:bidi="en-US"/>
        </w:rPr>
      </w:r>
    </w:p>
    <w:p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Não é necessário informar sobre materiais de consumo.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4460" w:type="dxa"/>
      <w:jc w:val="left"/>
      <w:tblInd w:w="0" w:type="dxa"/>
      <w:tblLayout w:type="fixed"/>
      <w:tblCellMar>
        <w:top w:w="55" w:type="dxa"/>
        <w:left w:w="52" w:type="dxa"/>
        <w:bottom w:w="55" w:type="dxa"/>
        <w:right w:w="55" w:type="dxa"/>
      </w:tblCellMar>
    </w:tblPr>
    <w:tblGrid>
      <w:gridCol w:w="2549"/>
      <w:gridCol w:w="9179"/>
      <w:gridCol w:w="2732"/>
    </w:tblGrid>
    <w:tr>
      <w:trPr>
        <w:cantSplit w:val="true"/>
      </w:trPr>
      <w:tc>
        <w:tcPr>
          <w:tcW w:w="254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highlight w:val="yellow"/>
            </w:rPr>
          </w:pPr>
          <w:r>
            <w:rPr>
              <w:rFonts w:ascii="Times New Roman" w:hAnsi="Times New Roman"/>
              <w:sz w:val="26"/>
              <w:szCs w:val="26"/>
              <w:highlight w:val="yellow"/>
            </w:rPr>
            <w:t>CENTRO DE CIÊNCIAS XXXXXXXXX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4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highlight w:val="yellow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highlight w:val="yellow"/>
              <w:lang w:eastAsia="pt-BR"/>
            </w:rPr>
            <w:t>DEPARTAMENTO DE XXXXXXXXXX</w:t>
          </w:r>
        </w:p>
      </w:tc>
      <w:tc>
        <w:tcPr>
          <w:tcW w:w="27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Hyperlink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1184</TotalTime>
  <Application>LibreOffice/7.4.7.2$Windows_X86_64 LibreOffice_project/723314e595e8007d3cf785c16538505a1c878ca5</Application>
  <AppVersion>15.0000</AppVersion>
  <Pages>6</Pages>
  <Words>467</Words>
  <Characters>2975</Characters>
  <CharactersWithSpaces>3297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cp:lastPrinted>2023-10-24T11:13:15Z</cp:lastPrinted>
  <dcterms:modified xsi:type="dcterms:W3CDTF">2023-10-24T15:29:39Z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